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«Школьная медиация в системе гражданско-правового образования»,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Гендерная и возрастная толерантность</w:t>
            </w:r>
          </w:p>
          <w:p>
            <w:pPr>
              <w:jc w:val="center"/>
              <w:spacing w:after="0" w:line="240" w:lineRule="auto"/>
              <w:rPr>
                <w:sz w:val="32"/>
                <w:szCs w:val="32"/>
              </w:rPr>
            </w:pPr>
            <w:r>
              <w:rPr>
                <w:rFonts w:ascii="Times New Roman" w:hAnsi="Times New Roman" w:cs="Times New Roman"/>
                <w:color w:val="#000000"/>
                <w:sz w:val="32"/>
                <w:szCs w:val="32"/>
              </w:rPr>
              <w:t> К.М.03.ДВ.01.02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«Школьная медиация в системе гражданско- правового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научно- исследовательский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958.33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«Школьная медиация в системе гражданско-правового образования»; форма обучения – заочная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«Гендерная и возрастная толерантность»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285.18"/>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организации при согласовании со всеми участниками образовательного процесса.</w:t>
            </w:r>
          </w:p>
        </w:tc>
      </w:tr>
      <w:tr>
        <w:trPr>
          <w:trHeight w:hRule="exact" w:val="138.915"/>
        </w:trPr>
        <w:tc>
          <w:tcPr>
            <w:tcW w:w="3970" w:type="dxa"/>
          </w:tcPr>
          <w:p/>
        </w:tc>
        <w:tc>
          <w:tcPr>
            <w:tcW w:w="3828" w:type="dxa"/>
          </w:tcPr>
          <w:p/>
        </w:tc>
        <w:tc>
          <w:tcPr>
            <w:tcW w:w="852" w:type="dxa"/>
          </w:tcPr>
          <w:p/>
        </w:tc>
        <w:tc>
          <w:tcPr>
            <w:tcW w:w="993" w:type="dxa"/>
          </w:tcPr>
          <w:p/>
        </w:tc>
      </w:tr>
      <w:tr>
        <w:trPr>
          <w:trHeight w:hRule="exact" w:val="1396.35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К.М.03.ДВ.01.02 «Гендерная и возрастная толерантность».</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3970" w:type="dxa"/>
          </w:tcPr>
          <w:p/>
        </w:tc>
        <w:tc>
          <w:tcPr>
            <w:tcW w:w="3828" w:type="dxa"/>
          </w:tcPr>
          <w:p/>
        </w:tc>
        <w:tc>
          <w:tcPr>
            <w:tcW w:w="852" w:type="dxa"/>
          </w:tcPr>
          <w:p/>
        </w:tc>
        <w:tc>
          <w:tcPr>
            <w:tcW w:w="993" w:type="dxa"/>
          </w:tcPr>
          <w:p/>
        </w:tc>
      </w:tr>
      <w:tr>
        <w:trPr>
          <w:trHeight w:hRule="exact" w:val="3260.166"/>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«Гендерная и возрастная толерантность»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ситуационный анализ конкретного случая, применять медиативные технологии разрешения конфликта и достижения мира</w:t>
            </w:r>
          </w:p>
        </w:tc>
      </w:tr>
      <w:tr>
        <w:trPr>
          <w:trHeight w:hRule="exact" w:val="585.0598"/>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медиативные технологии и альтернативные способы разрешения конфликтов, кодекс профессиональной этики медиатора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уметь оценивать применимость медиации для конкретного случая и применять гуманитарные технологии урегулирования конфликта и поддержания мира</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владеть адекватными конкретной ситуации действиями медиатора; организовывать деятельность служб примирения в образовательных организациях</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3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К.М.03.ДВ.01.02 «Гендерная и возрастная толерантность» относится к обязательной части, является дисциплиной Блока Б1. «Дисциплины (модули)». Модуль "Конфликты в социально-педагогической деятельности"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333.9836"/>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Школьная медиация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(преддипломная)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85</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138.9149"/>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Толерантность как ответ на глобальные вызовы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(философские, исторические, этно- конфессиональные, социально-культурные, психологические) аспекты культуры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Методологический инструментарий исследования, измерения и формирования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Гендерная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гендерной толерантности детей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Толерантность как ответ на глобальные вызовы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(философские, исторические, этно- конфессиональные, социально-культурные, психологические) аспекты культуры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Методологический инструментарий исследования, измерения и формирования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Гендерная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гендерной толерантности детей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Толерантность как ответ на глобальные вызовы современности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Теоретические (философские, исторические, этно- конфессиональные, социально-культурные, психологические) аспекты культуры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Методологический инструментарий исследования, измерения и формирования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Гендерная социализация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Воспитание гендерной толерантности детей школьного возраста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869.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Толерантность как ответ на глобальные вызовы  современности</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Потребность в развитии культуры толерантности в академической среде современной школы, в социальной среде</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(философские, исторические, этно-конфессиональные, социально- культурные, психологические) аспекты культуры толерантности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«толерантности», идентичности, различие в определениях «толерантность» и «терпимость». История появления и развития концепта «толерантность». Толерантность в философских, религиозных, политических учениях. Проблема толерантности в социологических и психологических учениях. Типология культуры толерантности, модели толерантного поведения, направления и средства развития культуры толерантности, риски и угрозы  интолерантного поведения, необходимость профилактики ксенофобии и других направлений интолерантного поведения. Черты толерантной и интолерантной личности. Толерантность как ценность во взаимоотношениях человека. Понятие «толерантная установка», уровни толерантных установок. Границы толерантности.</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Методологический инструментарий исследования, измерения и формирования толерантности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условий и направления развития культуры толерантности в поликультурной социальной среде. Обоснование интегрального индекса толерантности как индикатора уровня напряженности в различных социально-возрастных группах в сфере образования. Психологическая и гуманитарная экспертиза индексов толерантности как  средства оценки гуманистического потенциала образовательных программ разных уровней, учебных материалов, образовательных средств для школьников, поведенческих особенностей молодёжи и преподавательских кадров. Психологические методы исследования толерантности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Гендерная социализация</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Гендерные характеристики личности на разных возрастных этапах. Гендерная идентичность. Структура гендерной идентичности. Гендерные стереотипы. Психосоциальные аспекты развития личности как представителя определенного пола на всех этапах жизненного пути. Маскулинность и феминность как гендерные стандарты современного общества. Подчинение гендерным нормам и его причины: уступчивость, одобрение, идентификация. Нормативное давление как механизм гендерной социализации. Роль родителей, сверстников, воспитателей и учителей. Информационное влияние на гендерную социализацию. Роль литературных произведений, кино, телевидения, рекламы, игрушек и т.п. Нарушение гендерных норм в социальном и сексуальном поведении и его последствия для индивида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гендерной толерантности детей школьного возраста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Значение гендерного воспитания школьников. Теоретические основы гендерного воспитания. Физические и психические отличия детей разного пола. Задачи и содержание гендерного воспитания школьников.Гендерные нормы в различных культурах. Панкультурные гендерные сходства. Социально-психологический анализ гендерных отношений. Гендерный конфликт.</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Толерантность как ответ на глобальные вызовы  современности</w:t>
            </w:r>
          </w:p>
        </w:tc>
      </w:tr>
      <w:tr>
        <w:trPr>
          <w:trHeight w:hRule="exact" w:val="21.31518"/>
        </w:trPr>
        <w:tc>
          <w:tcPr>
            <w:tcW w:w="9640" w:type="dxa"/>
          </w:tcPr>
          <w:p/>
        </w:tc>
      </w:tr>
      <w:tr>
        <w:trPr>
          <w:trHeight w:hRule="exact" w:val="2144.87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Гендерное воспитание как составляющая гармоничного развития личности;</w:t>
            </w:r>
          </w:p>
          <w:p>
            <w:pPr>
              <w:jc w:val="left"/>
              <w:spacing w:after="0" w:line="240" w:lineRule="auto"/>
              <w:rPr>
                <w:sz w:val="24"/>
                <w:szCs w:val="24"/>
              </w:rPr>
            </w:pPr>
            <w:r>
              <w:rPr>
                <w:rFonts w:ascii="Times New Roman" w:hAnsi="Times New Roman" w:cs="Times New Roman"/>
                <w:color w:val="#000000"/>
                <w:sz w:val="24"/>
                <w:szCs w:val="24"/>
              </w:rPr>
              <w:t> 2.	Социально-гигиенические аспекты гендерового воспитания подростков.</w:t>
            </w:r>
          </w:p>
          <w:p>
            <w:pPr>
              <w:jc w:val="left"/>
              <w:spacing w:after="0" w:line="240" w:lineRule="auto"/>
              <w:rPr>
                <w:sz w:val="24"/>
                <w:szCs w:val="24"/>
              </w:rPr>
            </w:pPr>
            <w:r>
              <w:rPr>
                <w:rFonts w:ascii="Times New Roman" w:hAnsi="Times New Roman" w:cs="Times New Roman"/>
                <w:color w:val="#000000"/>
                <w:sz w:val="24"/>
                <w:szCs w:val="24"/>
              </w:rPr>
              <w:t> 3.	Уважительное отношение детей к пожилым людям, маме, папе, учителям, медицинским работникам.</w:t>
            </w:r>
          </w:p>
          <w:p>
            <w:pPr>
              <w:jc w:val="left"/>
              <w:spacing w:after="0" w:line="240" w:lineRule="auto"/>
              <w:rPr>
                <w:sz w:val="24"/>
                <w:szCs w:val="24"/>
              </w:rPr>
            </w:pPr>
            <w:r>
              <w:rPr>
                <w:rFonts w:ascii="Times New Roman" w:hAnsi="Times New Roman" w:cs="Times New Roman"/>
                <w:color w:val="#000000"/>
                <w:sz w:val="24"/>
                <w:szCs w:val="24"/>
              </w:rPr>
              <w:t> 4.	Выявление педагогами и подростками специфики процесса собственной гендерной социализации</w:t>
            </w:r>
          </w:p>
          <w:p>
            <w:pPr>
              <w:jc w:val="left"/>
              <w:spacing w:after="0" w:line="240" w:lineRule="auto"/>
              <w:rPr>
                <w:sz w:val="24"/>
                <w:szCs w:val="24"/>
              </w:rPr>
            </w:pPr>
            <w:r>
              <w:rPr>
                <w:rFonts w:ascii="Times New Roman" w:hAnsi="Times New Roman" w:cs="Times New Roman"/>
                <w:color w:val="#000000"/>
                <w:sz w:val="24"/>
                <w:szCs w:val="24"/>
              </w:rPr>
              <w:t> 5.	Осознание педагогами и подростками личных гендерных стереотипов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6.	Осознание ограничений, налагаемых на личность традиционными асимметричными гендерными стереотипами</w:t>
            </w:r>
          </w:p>
        </w:tc>
      </w:tr>
      <w:tr>
        <w:trPr>
          <w:trHeight w:hRule="exact" w:val="8.084989"/>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Теоретические (философские, исторические, этно-конфессиональные, социально- культурные, психологические) аспекты культуры толерантности</w:t>
            </w:r>
          </w:p>
        </w:tc>
      </w:tr>
      <w:tr>
        <w:trPr>
          <w:trHeight w:hRule="exact" w:val="21.31507"/>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«толерантности», идентичности, различие в определениях «толерантность» и «терпимость».</w:t>
            </w:r>
          </w:p>
          <w:p>
            <w:pPr>
              <w:jc w:val="left"/>
              <w:spacing w:after="0" w:line="240" w:lineRule="auto"/>
              <w:rPr>
                <w:sz w:val="24"/>
                <w:szCs w:val="24"/>
              </w:rPr>
            </w:pPr>
            <w:r>
              <w:rPr>
                <w:rFonts w:ascii="Times New Roman" w:hAnsi="Times New Roman" w:cs="Times New Roman"/>
                <w:color w:val="#000000"/>
                <w:sz w:val="24"/>
                <w:szCs w:val="24"/>
              </w:rPr>
              <w:t> 2.	История появления и развития концепта «толерантность».</w:t>
            </w:r>
          </w:p>
          <w:p>
            <w:pPr>
              <w:jc w:val="left"/>
              <w:spacing w:after="0" w:line="240" w:lineRule="auto"/>
              <w:rPr>
                <w:sz w:val="24"/>
                <w:szCs w:val="24"/>
              </w:rPr>
            </w:pPr>
            <w:r>
              <w:rPr>
                <w:rFonts w:ascii="Times New Roman" w:hAnsi="Times New Roman" w:cs="Times New Roman"/>
                <w:color w:val="#000000"/>
                <w:sz w:val="24"/>
                <w:szCs w:val="24"/>
              </w:rPr>
              <w:t> 3.	Толерантность в философских, религиозных, политических учениях.</w:t>
            </w:r>
          </w:p>
          <w:p>
            <w:pPr>
              <w:jc w:val="left"/>
              <w:spacing w:after="0" w:line="240" w:lineRule="auto"/>
              <w:rPr>
                <w:sz w:val="24"/>
                <w:szCs w:val="24"/>
              </w:rPr>
            </w:pPr>
            <w:r>
              <w:rPr>
                <w:rFonts w:ascii="Times New Roman" w:hAnsi="Times New Roman" w:cs="Times New Roman"/>
                <w:color w:val="#000000"/>
                <w:sz w:val="24"/>
                <w:szCs w:val="24"/>
              </w:rPr>
              <w:t> 4.	Проблема толерантности в социологических и психологических учениях.</w:t>
            </w:r>
          </w:p>
          <w:p>
            <w:pPr>
              <w:jc w:val="left"/>
              <w:spacing w:after="0" w:line="240" w:lineRule="auto"/>
              <w:rPr>
                <w:sz w:val="24"/>
                <w:szCs w:val="24"/>
              </w:rPr>
            </w:pPr>
            <w:r>
              <w:rPr>
                <w:rFonts w:ascii="Times New Roman" w:hAnsi="Times New Roman" w:cs="Times New Roman"/>
                <w:color w:val="#000000"/>
                <w:sz w:val="24"/>
                <w:szCs w:val="24"/>
              </w:rPr>
              <w:t> 5.	Типология культуры толерантности, модели толерантного поведения, направления и средства развития культуры толерантности, риски и угрозы  интолерантного поведения, необходимость профилактики ксенофобии и других направлений интолерантного поведения.</w:t>
            </w:r>
          </w:p>
          <w:p>
            <w:pPr>
              <w:jc w:val="left"/>
              <w:spacing w:after="0" w:line="240" w:lineRule="auto"/>
              <w:rPr>
                <w:sz w:val="24"/>
                <w:szCs w:val="24"/>
              </w:rPr>
            </w:pPr>
            <w:r>
              <w:rPr>
                <w:rFonts w:ascii="Times New Roman" w:hAnsi="Times New Roman" w:cs="Times New Roman"/>
                <w:color w:val="#000000"/>
                <w:sz w:val="24"/>
                <w:szCs w:val="24"/>
              </w:rPr>
              <w:t> 6.	Черты толерантной и интолерантной личности.</w:t>
            </w:r>
          </w:p>
          <w:p>
            <w:pPr>
              <w:jc w:val="left"/>
              <w:spacing w:after="0" w:line="240" w:lineRule="auto"/>
              <w:rPr>
                <w:sz w:val="24"/>
                <w:szCs w:val="24"/>
              </w:rPr>
            </w:pPr>
            <w:r>
              <w:rPr>
                <w:rFonts w:ascii="Times New Roman" w:hAnsi="Times New Roman" w:cs="Times New Roman"/>
                <w:color w:val="#000000"/>
                <w:sz w:val="24"/>
                <w:szCs w:val="24"/>
              </w:rPr>
              <w:t> 7.	Толерантность как ценность во взаимоотношениях человека.</w:t>
            </w:r>
          </w:p>
          <w:p>
            <w:pPr>
              <w:jc w:val="left"/>
              <w:spacing w:after="0" w:line="240" w:lineRule="auto"/>
              <w:rPr>
                <w:sz w:val="24"/>
                <w:szCs w:val="24"/>
              </w:rPr>
            </w:pPr>
            <w:r>
              <w:rPr>
                <w:rFonts w:ascii="Times New Roman" w:hAnsi="Times New Roman" w:cs="Times New Roman"/>
                <w:color w:val="#000000"/>
                <w:sz w:val="24"/>
                <w:szCs w:val="24"/>
              </w:rPr>
              <w:t> 8.	Понятие «толерантная установка», уровни толерантных установок.</w:t>
            </w:r>
          </w:p>
          <w:p>
            <w:pPr>
              <w:jc w:val="left"/>
              <w:spacing w:after="0" w:line="240" w:lineRule="auto"/>
              <w:rPr>
                <w:sz w:val="24"/>
                <w:szCs w:val="24"/>
              </w:rPr>
            </w:pPr>
            <w:r>
              <w:rPr>
                <w:rFonts w:ascii="Times New Roman" w:hAnsi="Times New Roman" w:cs="Times New Roman"/>
                <w:color w:val="#000000"/>
                <w:sz w:val="24"/>
                <w:szCs w:val="24"/>
              </w:rPr>
              <w:t> 9.	Границы толерантности.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Методологический инструментарий исследования, измерения и формирования толерантности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Специфика условий и направления развития культуры толерантности в поликультурной социальной среде.</w:t>
            </w:r>
          </w:p>
          <w:p>
            <w:pPr>
              <w:jc w:val="left"/>
              <w:spacing w:after="0" w:line="240" w:lineRule="auto"/>
              <w:rPr>
                <w:sz w:val="24"/>
                <w:szCs w:val="24"/>
              </w:rPr>
            </w:pPr>
            <w:r>
              <w:rPr>
                <w:rFonts w:ascii="Times New Roman" w:hAnsi="Times New Roman" w:cs="Times New Roman"/>
                <w:color w:val="#000000"/>
                <w:sz w:val="24"/>
                <w:szCs w:val="24"/>
              </w:rPr>
              <w:t> 2.	Обоснование интегрального индекса толерантности как индикатора уровня напряженно -сти в различных социально-возрастных группах в сфере образования.</w:t>
            </w:r>
          </w:p>
          <w:p>
            <w:pPr>
              <w:jc w:val="left"/>
              <w:spacing w:after="0" w:line="240" w:lineRule="auto"/>
              <w:rPr>
                <w:sz w:val="24"/>
                <w:szCs w:val="24"/>
              </w:rPr>
            </w:pPr>
            <w:r>
              <w:rPr>
                <w:rFonts w:ascii="Times New Roman" w:hAnsi="Times New Roman" w:cs="Times New Roman"/>
                <w:color w:val="#000000"/>
                <w:sz w:val="24"/>
                <w:szCs w:val="24"/>
              </w:rPr>
              <w:t> 3.	Психологическая и гуманитарная экспертиза индексов толерантности как  средства оцен -ки гуманистического потенциала образовательных программ разных уровней, учебных материа-лов, образовательных средств для школьников, поведенческих особенностей молодёжи и препо-давательских кадров.</w:t>
            </w:r>
          </w:p>
          <w:p>
            <w:pPr>
              <w:jc w:val="left"/>
              <w:spacing w:after="0" w:line="240" w:lineRule="auto"/>
              <w:rPr>
                <w:sz w:val="24"/>
                <w:szCs w:val="24"/>
              </w:rPr>
            </w:pPr>
            <w:r>
              <w:rPr>
                <w:rFonts w:ascii="Times New Roman" w:hAnsi="Times New Roman" w:cs="Times New Roman"/>
                <w:color w:val="#000000"/>
                <w:sz w:val="24"/>
                <w:szCs w:val="24"/>
              </w:rPr>
              <w:t> 4.	Психологические методы исследования толерантности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Гендерная социализация</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Информационное влияние на гендерную социализацию.</w:t>
            </w:r>
          </w:p>
          <w:p>
            <w:pPr>
              <w:jc w:val="left"/>
              <w:spacing w:after="0" w:line="240" w:lineRule="auto"/>
              <w:rPr>
                <w:sz w:val="24"/>
                <w:szCs w:val="24"/>
              </w:rPr>
            </w:pPr>
            <w:r>
              <w:rPr>
                <w:rFonts w:ascii="Times New Roman" w:hAnsi="Times New Roman" w:cs="Times New Roman"/>
                <w:color w:val="#000000"/>
                <w:sz w:val="24"/>
                <w:szCs w:val="24"/>
              </w:rPr>
              <w:t> 2.	Роль литературных произведений, кино, телевидения, рекламы, игрушек и т.п.</w:t>
            </w:r>
          </w:p>
          <w:p>
            <w:pPr>
              <w:jc w:val="left"/>
              <w:spacing w:after="0" w:line="240" w:lineRule="auto"/>
              <w:rPr>
                <w:sz w:val="24"/>
                <w:szCs w:val="24"/>
              </w:rPr>
            </w:pPr>
            <w:r>
              <w:rPr>
                <w:rFonts w:ascii="Times New Roman" w:hAnsi="Times New Roman" w:cs="Times New Roman"/>
                <w:color w:val="#000000"/>
                <w:sz w:val="24"/>
                <w:szCs w:val="24"/>
              </w:rPr>
              <w:t> 3.	Нарушение гендерных норм в социальном и сексуальном поведении и его последствия для индивида.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Воспитание гендерной толерантности детей школьного возраста</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Значение гендерного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2.	Теоретические основы гендерного воспитания.</w:t>
            </w:r>
          </w:p>
          <w:p>
            <w:pPr>
              <w:jc w:val="left"/>
              <w:spacing w:after="0" w:line="240" w:lineRule="auto"/>
              <w:rPr>
                <w:sz w:val="24"/>
                <w:szCs w:val="24"/>
              </w:rPr>
            </w:pPr>
            <w:r>
              <w:rPr>
                <w:rFonts w:ascii="Times New Roman" w:hAnsi="Times New Roman" w:cs="Times New Roman"/>
                <w:color w:val="#000000"/>
                <w:sz w:val="24"/>
                <w:szCs w:val="24"/>
              </w:rPr>
              <w:t> 3.	Физические и психические отличия детей разного пола.</w:t>
            </w:r>
          </w:p>
          <w:p>
            <w:pPr>
              <w:jc w:val="left"/>
              <w:spacing w:after="0" w:line="240" w:lineRule="auto"/>
              <w:rPr>
                <w:sz w:val="24"/>
                <w:szCs w:val="24"/>
              </w:rPr>
            </w:pPr>
            <w:r>
              <w:rPr>
                <w:rFonts w:ascii="Times New Roman" w:hAnsi="Times New Roman" w:cs="Times New Roman"/>
                <w:color w:val="#000000"/>
                <w:sz w:val="24"/>
                <w:szCs w:val="24"/>
              </w:rPr>
              <w:t> 4.	Задачи и содержание гендерного воспитания школьников.</w:t>
            </w:r>
          </w:p>
          <w:p>
            <w:pPr>
              <w:jc w:val="left"/>
              <w:spacing w:after="0" w:line="240" w:lineRule="auto"/>
              <w:rPr>
                <w:sz w:val="24"/>
                <w:szCs w:val="24"/>
              </w:rPr>
            </w:pPr>
            <w:r>
              <w:rPr>
                <w:rFonts w:ascii="Times New Roman" w:hAnsi="Times New Roman" w:cs="Times New Roman"/>
                <w:color w:val="#000000"/>
                <w:sz w:val="24"/>
                <w:szCs w:val="24"/>
              </w:rPr>
              <w:t> 5.	Гендерные нормы в различных культурах.</w:t>
            </w:r>
          </w:p>
          <w:p>
            <w:pPr>
              <w:jc w:val="left"/>
              <w:spacing w:after="0" w:line="240" w:lineRule="auto"/>
              <w:rPr>
                <w:sz w:val="24"/>
                <w:szCs w:val="24"/>
              </w:rPr>
            </w:pPr>
            <w:r>
              <w:rPr>
                <w:rFonts w:ascii="Times New Roman" w:hAnsi="Times New Roman" w:cs="Times New Roman"/>
                <w:color w:val="#000000"/>
                <w:sz w:val="24"/>
                <w:szCs w:val="24"/>
              </w:rPr>
              <w:t> 6.	Панкультурные гендерные сходства.</w:t>
            </w:r>
          </w:p>
          <w:p>
            <w:pPr>
              <w:jc w:val="left"/>
              <w:spacing w:after="0" w:line="240" w:lineRule="auto"/>
              <w:rPr>
                <w:sz w:val="24"/>
                <w:szCs w:val="24"/>
              </w:rPr>
            </w:pPr>
            <w:r>
              <w:rPr>
                <w:rFonts w:ascii="Times New Roman" w:hAnsi="Times New Roman" w:cs="Times New Roman"/>
                <w:color w:val="#000000"/>
                <w:sz w:val="24"/>
                <w:szCs w:val="24"/>
              </w:rPr>
              <w:t> 7.	Социально-психологический анализ гендерных отношений.</w:t>
            </w:r>
          </w:p>
          <w:p>
            <w:pPr>
              <w:jc w:val="left"/>
              <w:spacing w:after="0" w:line="240" w:lineRule="auto"/>
              <w:rPr>
                <w:sz w:val="24"/>
                <w:szCs w:val="24"/>
              </w:rPr>
            </w:pPr>
            <w:r>
              <w:rPr>
                <w:rFonts w:ascii="Times New Roman" w:hAnsi="Times New Roman" w:cs="Times New Roman"/>
                <w:color w:val="#000000"/>
                <w:sz w:val="24"/>
                <w:szCs w:val="24"/>
              </w:rPr>
              <w:t> 8.	Гендерный конфликт.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«Гендерная и возрастная толерантность» / Денисова Е.С..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Чепкина</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толерантности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средствах</w:t>
            </w:r>
            <w:r>
              <w:rPr/>
              <w:t xml:space="preserve"> </w:t>
            </w:r>
            <w:r>
              <w:rPr>
                <w:rFonts w:ascii="Times New Roman" w:hAnsi="Times New Roman" w:cs="Times New Roman"/>
                <w:color w:val="#000000"/>
                <w:sz w:val="24"/>
                <w:szCs w:val="24"/>
              </w:rPr>
              <w:t>массовой</w:t>
            </w:r>
            <w:r>
              <w:rPr/>
              <w:t xml:space="preserve"> </w:t>
            </w:r>
            <w:r>
              <w:rPr>
                <w:rFonts w:ascii="Times New Roman" w:hAnsi="Times New Roman" w:cs="Times New Roman"/>
                <w:color w:val="#000000"/>
                <w:sz w:val="24"/>
                <w:szCs w:val="24"/>
              </w:rPr>
              <w:t>информации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978-5-7996-1898-8.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http://www.iprbookshop.ru/66580.html</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Ребенок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культуре</w:t>
            </w:r>
            <w:r>
              <w:rPr/>
              <w:t xml:space="preserve"> </w:t>
            </w:r>
            <w:r>
              <w:rPr>
                <w:rFonts w:ascii="Times New Roman" w:hAnsi="Times New Roman" w:cs="Times New Roman"/>
                <w:color w:val="#000000"/>
                <w:sz w:val="24"/>
                <w:szCs w:val="24"/>
              </w:rPr>
              <w:t>взрослых</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Асмолов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Пастернак</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978-5-534-09629-3.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https://urait.ru/bcode/428210</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Гендерная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Ключко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Коробанова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Галанова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Яшкова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Сухарева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Чекалина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Иоффе</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Штылева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Самосадова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978-5-9916-9954-9.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https://urait.ru/bcode/436985</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Профилактика</w:t>
            </w:r>
            <w:r>
              <w:rPr/>
              <w:t xml:space="preserve"> </w:t>
            </w:r>
            <w:r>
              <w:rPr>
                <w:rFonts w:ascii="Times New Roman" w:hAnsi="Times New Roman" w:cs="Times New Roman"/>
                <w:color w:val="#000000"/>
                <w:sz w:val="24"/>
                <w:szCs w:val="24"/>
              </w:rPr>
              <w:t>экстремизма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молодежной</w:t>
            </w:r>
            <w:r>
              <w:rPr/>
              <w:t xml:space="preserve"> </w:t>
            </w:r>
            <w:r>
              <w:rPr>
                <w:rFonts w:ascii="Times New Roman" w:hAnsi="Times New Roman" w:cs="Times New Roman"/>
                <w:color w:val="#000000"/>
                <w:sz w:val="24"/>
                <w:szCs w:val="24"/>
              </w:rPr>
              <w:t>среде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Мартыненко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Еремина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Милешина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Надькин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Потапова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Царева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978-5-534-04849-0.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https://urait.ru/bcode/438937</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Возрастная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для</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Батюта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Князева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http://www.iprbookshop.ru/40436.html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95.2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098.5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809.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398.84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2024-2025_ФГОС3++2024_Маг-ЗФО-ПО(Шк мед)(24)_plx_Гендерная и возрастная толерантность</dc:title>
  <dc:creator>FastReport.NET</dc:creator>
</cp:coreProperties>
</file>